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710A" w14:textId="77777777" w:rsidR="00F60A68" w:rsidRDefault="00F60A68" w:rsidP="00F60A68">
      <w:pPr>
        <w:jc w:val="center"/>
        <w:rPr>
          <w:b/>
          <w:bCs/>
          <w:sz w:val="20"/>
          <w:szCs w:val="20"/>
          <w:u w:val="single"/>
        </w:rPr>
      </w:pPr>
      <w:r w:rsidRPr="00A71185">
        <w:rPr>
          <w:b/>
          <w:bCs/>
          <w:sz w:val="20"/>
          <w:szCs w:val="20"/>
          <w:u w:val="single"/>
        </w:rPr>
        <w:t>Note esplicative sulla rendicontazione dei programmi operativi</w:t>
      </w:r>
    </w:p>
    <w:p w14:paraId="4CE0088B" w14:textId="77777777" w:rsidR="000E3A53" w:rsidRPr="000E3A53" w:rsidRDefault="000E3A53" w:rsidP="00F60A68">
      <w:pPr>
        <w:jc w:val="center"/>
        <w:rPr>
          <w:bCs/>
          <w:sz w:val="20"/>
          <w:szCs w:val="20"/>
          <w:u w:val="single"/>
        </w:rPr>
      </w:pPr>
      <w:r w:rsidRPr="000E3A53">
        <w:rPr>
          <w:bCs/>
          <w:sz w:val="20"/>
          <w:szCs w:val="20"/>
          <w:u w:val="single"/>
        </w:rPr>
        <w:t>Le presenti note fanno riferimento alla rendicontazione delle spese</w:t>
      </w:r>
    </w:p>
    <w:p w14:paraId="1BF7B692" w14:textId="74E00D79" w:rsidR="000E3A53" w:rsidRPr="000E3A53" w:rsidRDefault="000E3A53" w:rsidP="00F60A68">
      <w:pPr>
        <w:jc w:val="center"/>
        <w:rPr>
          <w:bCs/>
          <w:sz w:val="20"/>
          <w:szCs w:val="20"/>
        </w:rPr>
      </w:pPr>
      <w:r w:rsidRPr="000E3A53">
        <w:rPr>
          <w:bCs/>
          <w:sz w:val="20"/>
          <w:szCs w:val="20"/>
          <w:u w:val="single"/>
        </w:rPr>
        <w:t>delle annualità del PO</w:t>
      </w:r>
      <w:r w:rsidR="005F3DBD">
        <w:rPr>
          <w:bCs/>
          <w:sz w:val="20"/>
          <w:szCs w:val="20"/>
          <w:u w:val="single"/>
        </w:rPr>
        <w:t>.</w:t>
      </w:r>
      <w:r w:rsidRPr="000E3A53">
        <w:rPr>
          <w:bCs/>
          <w:sz w:val="20"/>
          <w:szCs w:val="20"/>
          <w:u w:val="single"/>
        </w:rPr>
        <w:t xml:space="preserve"> </w:t>
      </w:r>
    </w:p>
    <w:p w14:paraId="672A6659" w14:textId="77777777" w:rsidR="00F60A68" w:rsidRDefault="00F60A68" w:rsidP="00F60A68">
      <w:pPr>
        <w:suppressAutoHyphens/>
        <w:jc w:val="both"/>
        <w:rPr>
          <w:sz w:val="20"/>
          <w:szCs w:val="20"/>
        </w:rPr>
      </w:pPr>
    </w:p>
    <w:p w14:paraId="008D9787" w14:textId="77777777" w:rsidR="00F60A68" w:rsidRDefault="00F60A68" w:rsidP="00F60A68">
      <w:pPr>
        <w:suppressAutoHyphens/>
        <w:jc w:val="both"/>
        <w:rPr>
          <w:sz w:val="20"/>
          <w:szCs w:val="20"/>
        </w:rPr>
      </w:pPr>
      <w:r w:rsidRPr="00A71185">
        <w:rPr>
          <w:sz w:val="20"/>
          <w:szCs w:val="20"/>
        </w:rPr>
        <w:t>Per l’elencazione di tutti i giustificativi di spesa utilizzare il file “CR1 Analitico spese” con il prospetto predisposto da AGEA rispettando le seguenti indicazioni:</w:t>
      </w:r>
    </w:p>
    <w:p w14:paraId="0A37501D" w14:textId="77777777" w:rsidR="00F60A68" w:rsidRPr="00A71185" w:rsidRDefault="00F60A68" w:rsidP="00F60A68">
      <w:pPr>
        <w:suppressAutoHyphens/>
        <w:ind w:left="720"/>
        <w:jc w:val="both"/>
        <w:rPr>
          <w:sz w:val="20"/>
          <w:szCs w:val="20"/>
        </w:rPr>
      </w:pPr>
    </w:p>
    <w:p w14:paraId="5D675C2F" w14:textId="7A9FE886" w:rsidR="00F60A68" w:rsidRPr="00F57611" w:rsidRDefault="00646987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00F57611">
        <w:rPr>
          <w:b/>
          <w:bCs/>
          <w:sz w:val="20"/>
          <w:szCs w:val="20"/>
        </w:rPr>
        <w:t>CR1b</w:t>
      </w:r>
      <w:r w:rsidRPr="00F57611">
        <w:rPr>
          <w:sz w:val="20"/>
          <w:szCs w:val="20"/>
        </w:rPr>
        <w:t xml:space="preserve"> riportare il tipo di azione</w:t>
      </w:r>
      <w:r w:rsidR="00F57611">
        <w:rPr>
          <w:sz w:val="20"/>
          <w:szCs w:val="20"/>
        </w:rPr>
        <w:t>:</w:t>
      </w:r>
      <w:r w:rsidR="00F57611" w:rsidRPr="00F57611">
        <w:rPr>
          <w:sz w:val="20"/>
          <w:szCs w:val="20"/>
        </w:rPr>
        <w:t xml:space="preserve"> indicare A se trattasi di acquisizione di capitale fisso o, nel caso dell'</w:t>
      </w:r>
      <w:proofErr w:type="spellStart"/>
      <w:r w:rsidR="00F57611" w:rsidRPr="00F57611">
        <w:rPr>
          <w:sz w:val="20"/>
          <w:szCs w:val="20"/>
        </w:rPr>
        <w:t>Ob</w:t>
      </w:r>
      <w:proofErr w:type="spellEnd"/>
      <w:r w:rsidR="00F57611" w:rsidRPr="00F57611">
        <w:rPr>
          <w:sz w:val="20"/>
          <w:szCs w:val="20"/>
        </w:rPr>
        <w:t xml:space="preserve">. 6, azioni identiche ad impegni </w:t>
      </w:r>
      <w:proofErr w:type="spellStart"/>
      <w:r w:rsidR="00F57611" w:rsidRPr="00F57611">
        <w:rPr>
          <w:sz w:val="20"/>
          <w:szCs w:val="20"/>
        </w:rPr>
        <w:t>agroclimatico</w:t>
      </w:r>
      <w:proofErr w:type="spellEnd"/>
      <w:r w:rsidR="00F57611" w:rsidRPr="00F57611">
        <w:rPr>
          <w:sz w:val="20"/>
          <w:szCs w:val="20"/>
        </w:rPr>
        <w:t>-ambientali o ad impegni di agricoltura biologica di cui agli artt. 28 e 29 del reg. (UE) n 1305/2013, previsti nel quadro del programma di Sviluppo rurale dove sono ubicate le aziende dell’OP; B altre forme di acquisizione di capitale fisso o, nel caso dell'</w:t>
      </w:r>
      <w:proofErr w:type="spellStart"/>
      <w:r w:rsidR="00F57611" w:rsidRPr="00F57611">
        <w:rPr>
          <w:sz w:val="20"/>
          <w:szCs w:val="20"/>
        </w:rPr>
        <w:t>Ob</w:t>
      </w:r>
      <w:proofErr w:type="spellEnd"/>
      <w:r w:rsidR="00F57611" w:rsidRPr="00F57611">
        <w:rPr>
          <w:sz w:val="20"/>
          <w:szCs w:val="20"/>
        </w:rPr>
        <w:t>. 6 Investimenti a valenza ambientale; C Altre azioni o, nel caso dell'</w:t>
      </w:r>
      <w:proofErr w:type="spellStart"/>
      <w:r w:rsidR="00F57611" w:rsidRPr="00F57611">
        <w:rPr>
          <w:sz w:val="20"/>
          <w:szCs w:val="20"/>
        </w:rPr>
        <w:t>Ob</w:t>
      </w:r>
      <w:proofErr w:type="spellEnd"/>
      <w:r w:rsidR="00F57611" w:rsidRPr="00F57611">
        <w:rPr>
          <w:sz w:val="20"/>
          <w:szCs w:val="20"/>
        </w:rPr>
        <w:t>. 6, altre azioni diverse da quelle di cui alle lettere A) e B), anche se non legate direttamente o indirettamente ad una particella di terreno;</w:t>
      </w:r>
    </w:p>
    <w:p w14:paraId="219EED23" w14:textId="63A85311" w:rsidR="00F60A68" w:rsidRPr="00F57611" w:rsidRDefault="39F44F20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39F44F20">
        <w:rPr>
          <w:b/>
          <w:bCs/>
          <w:sz w:val="20"/>
          <w:szCs w:val="20"/>
        </w:rPr>
        <w:t>CR1b</w:t>
      </w:r>
      <w:r w:rsidRPr="39F44F20">
        <w:rPr>
          <w:sz w:val="20"/>
          <w:szCs w:val="20"/>
        </w:rPr>
        <w:t xml:space="preserve"> riportare codice azione, si veda sommario in allegato;</w:t>
      </w:r>
    </w:p>
    <w:p w14:paraId="2C781F4F" w14:textId="4B878CB7" w:rsidR="00F60A68" w:rsidRPr="00A71185" w:rsidRDefault="39F44F20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39F44F20">
        <w:rPr>
          <w:b/>
          <w:bCs/>
          <w:sz w:val="20"/>
          <w:szCs w:val="20"/>
        </w:rPr>
        <w:t>CR1b</w:t>
      </w:r>
      <w:r w:rsidRPr="39F44F20">
        <w:rPr>
          <w:sz w:val="20"/>
          <w:szCs w:val="20"/>
        </w:rPr>
        <w:t xml:space="preserve"> si veda sommario in allegato;</w:t>
      </w:r>
    </w:p>
    <w:p w14:paraId="0C5C845E" w14:textId="77777777" w:rsidR="00682350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deve essere indicato l’intestatario del giustificativo di spesa, sia esso persona giuridica che fisica, (produttore, cooperativa, OP);</w:t>
      </w:r>
    </w:p>
    <w:p w14:paraId="297E5B71" w14:textId="77777777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deve essere indicato il CUAA dell’intestatario;</w:t>
      </w:r>
    </w:p>
    <w:p w14:paraId="46A43F9C" w14:textId="77777777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riportare il nome della cooperativa solo se l’intestatario in colonna D è un produttore socio della cooperativa;</w:t>
      </w:r>
    </w:p>
    <w:p w14:paraId="4BE0B943" w14:textId="1822C824" w:rsidR="00F60A68" w:rsidRPr="00A71185" w:rsidRDefault="7B13B11F" w:rsidP="4318A580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indicare la ragione sociale del fornitore;</w:t>
      </w:r>
    </w:p>
    <w:p w14:paraId="7D8C6401" w14:textId="6CF2F251" w:rsidR="00F60A68" w:rsidRPr="00A71185" w:rsidRDefault="7B13B11F" w:rsidP="4318A580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la partita IVA del fornitore;</w:t>
      </w:r>
    </w:p>
    <w:p w14:paraId="0C588895" w14:textId="77777777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numero della fattura;</w:t>
      </w:r>
    </w:p>
    <w:p w14:paraId="58A3807C" w14:textId="77777777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data della fattura;</w:t>
      </w:r>
    </w:p>
    <w:p w14:paraId="4EDF6F74" w14:textId="77777777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valore imponibile della fattura;</w:t>
      </w:r>
    </w:p>
    <w:p w14:paraId="0441C509" w14:textId="77777777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esporre l’IVA solo se il pagamento della fattura avviene per intero direttamente dal c/c dedicato;</w:t>
      </w:r>
    </w:p>
    <w:p w14:paraId="08D6FD43" w14:textId="77777777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esporre il totale (imponibile + IVA) solo se il pagamento della fattura avviene per intero direttamente dal c/c dedicato;</w:t>
      </w:r>
    </w:p>
    <w:p w14:paraId="78822D42" w14:textId="6D037C1C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nel caso di pagamenti forfettari o di verifica dei massimali di costo, inserire il valore numerico delle unità (ettari, metri lineari, numero, ecc.), a cui applicare il valore forfettario stabilito dalle norme nazionali (colonna “Valore ammissibile per unità”) per determinare il valore massimo rendicontabile.</w:t>
      </w:r>
      <w:r w:rsidR="00BC70CA">
        <w:rPr>
          <w:sz w:val="20"/>
          <w:szCs w:val="20"/>
        </w:rPr>
        <w:t xml:space="preserve"> </w:t>
      </w:r>
      <w:r w:rsidRPr="7B13B11F">
        <w:rPr>
          <w:sz w:val="20"/>
          <w:szCs w:val="20"/>
        </w:rPr>
        <w:t>La descrizione dell’intervento individuerà come sono espresse le unità indicate (ad esempio se nella descrizione dell’intervento viene indicato Potatura verde o miglioramento delle tecniche colturali è implicito che le unità evidenziate debbano essere ettari);</w:t>
      </w:r>
    </w:p>
    <w:p w14:paraId="064821F9" w14:textId="77777777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importo ammissibile per unità inteso come parametro o massimale di riferimento;</w:t>
      </w:r>
    </w:p>
    <w:p w14:paraId="60D4E648" w14:textId="77777777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importo massimo rendicontabile derivante dal prodotto tra il numero di unità e l’importo ammissibile per unità,</w:t>
      </w:r>
    </w:p>
    <w:p w14:paraId="1E746AAC" w14:textId="77777777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importo rendicontato che può essere uguale o inferiore all’imponibile delle fatture o all’importo massimo rendicontabile in caso di valori forfettari o soggetti a massimale;</w:t>
      </w:r>
    </w:p>
    <w:p w14:paraId="1A6DCD71" w14:textId="77777777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indicare la data del pagamento (data valuta);</w:t>
      </w:r>
    </w:p>
    <w:p w14:paraId="3B57B7A5" w14:textId="77777777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importo del pagamento effettuato;</w:t>
      </w:r>
    </w:p>
    <w:p w14:paraId="7BCF31BF" w14:textId="77777777" w:rsidR="00F60A68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indicare la modalità di pagamento (bonifico bancario, ecc.);</w:t>
      </w:r>
    </w:p>
    <w:p w14:paraId="0B340DAB" w14:textId="77777777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la compilazione della colonna “uscita CCD” è di pertinenza dell’organismo delegato al controllo che, nell’ambito dei controlli di rendicontazione, dovrà accertare se le spese siano o meno transitate attraverso il CCD. Si precisa, quindi, che le colonne “data pagamento”, “importo pagamento”, e “modalità”, dovranno essere valorizzate dalla OP con le corrispondenti informazioni richieste con riferimento ai pagamenti dalla stessa effettuati;</w:t>
      </w:r>
    </w:p>
    <w:p w14:paraId="2C1BCFE8" w14:textId="77777777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di competenza dell’organismo delegato al controllo;</w:t>
      </w:r>
    </w:p>
    <w:p w14:paraId="3DC080A4" w14:textId="77777777" w:rsidR="00F60A68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idem;</w:t>
      </w:r>
    </w:p>
    <w:p w14:paraId="4F0C64C6" w14:textId="77777777" w:rsidR="00E9404F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si deve indicare il codice dell’evento (secondo le codifiche riportate nella circolare nonché nel manuale utente, ad es.: B1, B2, B3 ecc.);</w:t>
      </w:r>
    </w:p>
    <w:p w14:paraId="0C053524" w14:textId="77777777" w:rsidR="00766439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>al fine di individuare univocamente la comunicazione di evento, deve essere indicato un numero di protocollo o qualsiasi altra codifica (rilevabile anche dall’Organismo delegato al controllo) che identifichi quella specifica comunicazione;</w:t>
      </w:r>
    </w:p>
    <w:p w14:paraId="5BB35652" w14:textId="77777777" w:rsidR="00F60A68" w:rsidRPr="00A71185" w:rsidRDefault="7B13B11F" w:rsidP="00F60A68">
      <w:pPr>
        <w:numPr>
          <w:ilvl w:val="0"/>
          <w:numId w:val="1"/>
        </w:numPr>
        <w:suppressAutoHyphens/>
        <w:ind w:left="1560" w:hanging="993"/>
        <w:jc w:val="both"/>
        <w:rPr>
          <w:sz w:val="20"/>
          <w:szCs w:val="20"/>
        </w:rPr>
      </w:pPr>
      <w:r w:rsidRPr="7B13B11F">
        <w:rPr>
          <w:sz w:val="20"/>
          <w:szCs w:val="20"/>
        </w:rPr>
        <w:t xml:space="preserve">inserire eventuali note. </w:t>
      </w:r>
    </w:p>
    <w:p w14:paraId="5DAB6C7B" w14:textId="77777777" w:rsidR="00F60A68" w:rsidRDefault="00F60A68" w:rsidP="00F60A68">
      <w:pPr>
        <w:jc w:val="both"/>
        <w:rPr>
          <w:sz w:val="20"/>
          <w:szCs w:val="20"/>
        </w:rPr>
      </w:pPr>
    </w:p>
    <w:p w14:paraId="5A1F9DAB" w14:textId="49A1787B" w:rsidR="33ED8B77" w:rsidRDefault="33ED8B77" w:rsidP="33ED8B77">
      <w:pPr>
        <w:jc w:val="center"/>
        <w:rPr>
          <w:sz w:val="20"/>
          <w:szCs w:val="20"/>
        </w:rPr>
      </w:pPr>
    </w:p>
    <w:p w14:paraId="62536334" w14:textId="4D8E4FEF" w:rsidR="33ED8B77" w:rsidRDefault="33ED8B77" w:rsidP="33ED8B77">
      <w:pPr>
        <w:jc w:val="both"/>
        <w:rPr>
          <w:sz w:val="20"/>
          <w:szCs w:val="20"/>
        </w:rPr>
      </w:pPr>
    </w:p>
    <w:p w14:paraId="1F714DF7" w14:textId="223B9198" w:rsidR="33ED8B77" w:rsidRDefault="33ED8B77" w:rsidP="33ED8B77">
      <w:pPr>
        <w:jc w:val="both"/>
        <w:rPr>
          <w:sz w:val="20"/>
          <w:szCs w:val="20"/>
        </w:rPr>
      </w:pPr>
    </w:p>
    <w:p w14:paraId="3B54DEAF" w14:textId="1708C94C" w:rsidR="33ED8B77" w:rsidRDefault="33ED8B77" w:rsidP="33ED8B77">
      <w:pPr>
        <w:jc w:val="both"/>
        <w:rPr>
          <w:sz w:val="20"/>
          <w:szCs w:val="20"/>
        </w:rPr>
      </w:pPr>
    </w:p>
    <w:p w14:paraId="1CDF1E90" w14:textId="5356F0E6" w:rsidR="33ED8B77" w:rsidRDefault="33ED8B77" w:rsidP="33ED8B77">
      <w:pPr>
        <w:jc w:val="both"/>
        <w:rPr>
          <w:sz w:val="20"/>
          <w:szCs w:val="20"/>
        </w:rPr>
      </w:pPr>
      <w:r w:rsidRPr="33ED8B77">
        <w:rPr>
          <w:b/>
          <w:bCs/>
          <w:sz w:val="20"/>
          <w:szCs w:val="20"/>
        </w:rPr>
        <w:t xml:space="preserve">Con riguardo alle domande di pagamento parziale si specifica che con tali domande sono rendicontabili </w:t>
      </w:r>
      <w:r w:rsidRPr="33ED8B77">
        <w:rPr>
          <w:b/>
          <w:bCs/>
          <w:sz w:val="20"/>
          <w:szCs w:val="20"/>
          <w:u w:val="single"/>
        </w:rPr>
        <w:t>le sole spese che sono state sostenute e pagate</w:t>
      </w:r>
      <w:r w:rsidRPr="33ED8B77">
        <w:rPr>
          <w:b/>
          <w:bCs/>
          <w:sz w:val="20"/>
          <w:szCs w:val="20"/>
        </w:rPr>
        <w:t xml:space="preserve"> entro la data di presentazione della domanda.</w:t>
      </w:r>
    </w:p>
    <w:p w14:paraId="34342493" w14:textId="240965E4" w:rsidR="33ED8B77" w:rsidRDefault="33ED8B77" w:rsidP="33ED8B77">
      <w:pPr>
        <w:jc w:val="center"/>
        <w:rPr>
          <w:sz w:val="20"/>
          <w:szCs w:val="20"/>
        </w:rPr>
      </w:pPr>
    </w:p>
    <w:p w14:paraId="4BB8DE4E" w14:textId="7DA183B7" w:rsidR="33ED8B77" w:rsidRDefault="33ED8B77" w:rsidP="33ED8B77">
      <w:pPr>
        <w:jc w:val="center"/>
        <w:rPr>
          <w:sz w:val="20"/>
          <w:szCs w:val="20"/>
        </w:rPr>
      </w:pPr>
    </w:p>
    <w:p w14:paraId="05ED09C0" w14:textId="77777777" w:rsidR="00F60A68" w:rsidRPr="006F6639" w:rsidRDefault="7B13B11F" w:rsidP="7B13B11F">
      <w:pPr>
        <w:suppressAutoHyphens/>
        <w:jc w:val="center"/>
        <w:rPr>
          <w:sz w:val="20"/>
          <w:szCs w:val="20"/>
        </w:rPr>
      </w:pPr>
      <w:r w:rsidRPr="7B13B11F">
        <w:rPr>
          <w:sz w:val="20"/>
          <w:szCs w:val="20"/>
        </w:rPr>
        <w:t>Alcuni esempi</w:t>
      </w:r>
    </w:p>
    <w:p w14:paraId="4B94D5A5" w14:textId="77777777" w:rsidR="00F60A68" w:rsidRDefault="00F60A68" w:rsidP="00F60A68">
      <w:pPr>
        <w:jc w:val="center"/>
        <w:rPr>
          <w:rFonts w:ascii="Arial Narrow" w:hAnsi="Arial Narrow"/>
        </w:rPr>
      </w:pPr>
    </w:p>
    <w:p w14:paraId="4985FCA2" w14:textId="77777777" w:rsidR="00F60A68" w:rsidRDefault="00F60A68" w:rsidP="00F60A6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797D5D">
        <w:rPr>
          <w:rFonts w:ascii="Arial Narrow" w:hAnsi="Arial Narrow"/>
        </w:rPr>
        <w:t>agamento fattura</w:t>
      </w:r>
    </w:p>
    <w:p w14:paraId="3DEEC669" w14:textId="77777777" w:rsidR="00F60A68" w:rsidRPr="00797D5D" w:rsidRDefault="00F60A68" w:rsidP="00F60A68">
      <w:pPr>
        <w:jc w:val="center"/>
        <w:rPr>
          <w:rFonts w:ascii="Arial Narrow" w:hAnsi="Arial Narrow"/>
        </w:rPr>
      </w:pPr>
    </w:p>
    <w:tbl>
      <w:tblPr>
        <w:tblW w:w="568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0"/>
        <w:gridCol w:w="2020"/>
        <w:gridCol w:w="1200"/>
        <w:gridCol w:w="1280"/>
      </w:tblGrid>
      <w:tr w:rsidR="00F60A68" w:rsidRPr="001959C6" w14:paraId="6223C8CC" w14:textId="77777777" w:rsidTr="00F27080">
        <w:trPr>
          <w:trHeight w:val="96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6FDC39BB" w14:textId="77777777" w:rsidR="00F60A68" w:rsidRPr="001959C6" w:rsidRDefault="00F60A68" w:rsidP="00F2708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959C6">
              <w:rPr>
                <w:rFonts w:ascii="Arial Narrow" w:hAnsi="Arial Narrow" w:cs="Arial"/>
                <w:b/>
                <w:bCs/>
                <w:sz w:val="16"/>
                <w:szCs w:val="16"/>
              </w:rPr>
              <w:t>Rendicontato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41BC2D3E" w14:textId="77777777" w:rsidR="00F60A68" w:rsidRPr="001959C6" w:rsidRDefault="000E3A53" w:rsidP="00F2708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Data </w:t>
            </w:r>
            <w:r w:rsidR="00F60A68" w:rsidRPr="001959C6">
              <w:rPr>
                <w:rFonts w:ascii="Arial Narrow" w:hAnsi="Arial Narrow" w:cs="Arial"/>
                <w:b/>
                <w:bCs/>
                <w:sz w:val="16"/>
                <w:szCs w:val="16"/>
              </w:rPr>
              <w:t>Pagamento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6D491530" w14:textId="77777777" w:rsidR="00F60A68" w:rsidRPr="001959C6" w:rsidRDefault="00F60A68" w:rsidP="00F2708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959C6">
              <w:rPr>
                <w:rFonts w:ascii="Arial Narrow" w:hAnsi="Arial Narrow" w:cs="Arial"/>
                <w:b/>
                <w:bCs/>
                <w:sz w:val="16"/>
                <w:szCs w:val="16"/>
              </w:rPr>
              <w:t>Importo pagamento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</w:tcPr>
          <w:p w14:paraId="23769AF8" w14:textId="77777777" w:rsidR="00F60A68" w:rsidRPr="001959C6" w:rsidRDefault="00F60A68" w:rsidP="00F2708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959C6">
              <w:rPr>
                <w:rFonts w:ascii="Arial Narrow" w:hAnsi="Arial Narrow" w:cs="Arial"/>
                <w:b/>
                <w:bCs/>
                <w:sz w:val="16"/>
                <w:szCs w:val="16"/>
              </w:rPr>
              <w:t>Modalità</w:t>
            </w:r>
          </w:p>
        </w:tc>
      </w:tr>
      <w:tr w:rsidR="00F60A68" w:rsidRPr="001959C6" w14:paraId="6CF3BDD2" w14:textId="77777777" w:rsidTr="00F27080">
        <w:trPr>
          <w:trHeight w:val="22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BE35C" w14:textId="77777777" w:rsidR="00F60A68" w:rsidRPr="001959C6" w:rsidRDefault="00F60A68" w:rsidP="00F27080">
            <w:pPr>
              <w:jc w:val="right"/>
              <w:rPr>
                <w:rFonts w:cs="Arial"/>
                <w:sz w:val="16"/>
                <w:szCs w:val="16"/>
              </w:rPr>
            </w:pPr>
            <w:r w:rsidRPr="001959C6">
              <w:rPr>
                <w:rFonts w:cs="Arial"/>
                <w:sz w:val="16"/>
                <w:szCs w:val="16"/>
              </w:rPr>
              <w:t>235,00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18E8F" w14:textId="77777777" w:rsidR="00F60A68" w:rsidRPr="001959C6" w:rsidRDefault="00F60A68" w:rsidP="00F27080">
            <w:pPr>
              <w:jc w:val="center"/>
              <w:rPr>
                <w:rFonts w:cs="Arial"/>
                <w:sz w:val="16"/>
                <w:szCs w:val="16"/>
              </w:rPr>
            </w:pPr>
            <w:r w:rsidRPr="001959C6">
              <w:rPr>
                <w:rFonts w:cs="Arial"/>
                <w:sz w:val="16"/>
                <w:szCs w:val="16"/>
              </w:rPr>
              <w:t>10/01/10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55CD2" w14:textId="77777777" w:rsidR="00F60A68" w:rsidRPr="001959C6" w:rsidRDefault="00F60A68" w:rsidP="000E3A53">
            <w:pPr>
              <w:jc w:val="right"/>
              <w:rPr>
                <w:rFonts w:cs="Arial"/>
                <w:sz w:val="16"/>
                <w:szCs w:val="16"/>
              </w:rPr>
            </w:pPr>
            <w:r w:rsidRPr="001959C6">
              <w:rPr>
                <w:rFonts w:cs="Arial"/>
                <w:sz w:val="16"/>
                <w:szCs w:val="16"/>
              </w:rPr>
              <w:t xml:space="preserve">            235,00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52C1" w14:textId="77777777" w:rsidR="00F60A68" w:rsidRPr="001959C6" w:rsidRDefault="00F60A68" w:rsidP="00F27080">
            <w:pPr>
              <w:jc w:val="center"/>
              <w:rPr>
                <w:rFonts w:cs="Arial"/>
                <w:sz w:val="16"/>
                <w:szCs w:val="16"/>
              </w:rPr>
            </w:pPr>
            <w:r w:rsidRPr="001959C6">
              <w:rPr>
                <w:rFonts w:cs="Arial"/>
                <w:sz w:val="16"/>
                <w:szCs w:val="16"/>
              </w:rPr>
              <w:t>RIBA</w:t>
            </w:r>
          </w:p>
        </w:tc>
      </w:tr>
    </w:tbl>
    <w:p w14:paraId="3656B9AB" w14:textId="77777777" w:rsidR="00F60A68" w:rsidRDefault="00F60A68" w:rsidP="00F60A68">
      <w:pPr>
        <w:jc w:val="both"/>
      </w:pPr>
    </w:p>
    <w:p w14:paraId="45FB0818" w14:textId="77777777" w:rsidR="00F60A68" w:rsidRDefault="00F60A68" w:rsidP="00F60A68">
      <w:pPr>
        <w:jc w:val="center"/>
        <w:rPr>
          <w:rFonts w:ascii="Arial Narrow" w:hAnsi="Arial Narrow"/>
        </w:rPr>
      </w:pPr>
    </w:p>
    <w:p w14:paraId="61099F51" w14:textId="77777777" w:rsidR="00F60A68" w:rsidRDefault="00F60A68" w:rsidP="00F60A6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797D5D">
        <w:rPr>
          <w:rFonts w:ascii="Arial Narrow" w:hAnsi="Arial Narrow"/>
        </w:rPr>
        <w:t>pese del personale</w:t>
      </w:r>
    </w:p>
    <w:p w14:paraId="049F31CB" w14:textId="77777777" w:rsidR="00F60A68" w:rsidRPr="00797D5D" w:rsidRDefault="00F60A68" w:rsidP="00F60A68">
      <w:pPr>
        <w:jc w:val="center"/>
        <w:rPr>
          <w:rFonts w:ascii="Arial Narrow" w:hAnsi="Arial Narrow"/>
        </w:rPr>
      </w:pPr>
    </w:p>
    <w:tbl>
      <w:tblPr>
        <w:tblW w:w="568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0"/>
        <w:gridCol w:w="2020"/>
        <w:gridCol w:w="1200"/>
        <w:gridCol w:w="1280"/>
      </w:tblGrid>
      <w:tr w:rsidR="00F60A68" w:rsidRPr="00922586" w14:paraId="26E22B1F" w14:textId="77777777" w:rsidTr="00F27080">
        <w:trPr>
          <w:trHeight w:val="96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7B64F787" w14:textId="77777777" w:rsidR="00F60A68" w:rsidRPr="00922586" w:rsidRDefault="00F60A68" w:rsidP="00F2708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22586">
              <w:rPr>
                <w:rFonts w:ascii="Arial Narrow" w:hAnsi="Arial Narrow" w:cs="Arial"/>
                <w:b/>
                <w:bCs/>
                <w:sz w:val="16"/>
                <w:szCs w:val="16"/>
              </w:rPr>
              <w:t>Rendicontato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7C878D99" w14:textId="77777777" w:rsidR="00F60A68" w:rsidRPr="00922586" w:rsidRDefault="000E3A53" w:rsidP="00F2708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Data </w:t>
            </w:r>
            <w:r w:rsidR="00F60A68" w:rsidRPr="00922586">
              <w:rPr>
                <w:rFonts w:ascii="Arial Narrow" w:hAnsi="Arial Narrow" w:cs="Arial"/>
                <w:b/>
                <w:bCs/>
                <w:sz w:val="16"/>
                <w:szCs w:val="16"/>
              </w:rPr>
              <w:t>Pagamento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4AC146BD" w14:textId="77777777" w:rsidR="00F60A68" w:rsidRPr="00922586" w:rsidRDefault="00F60A68" w:rsidP="00F2708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22586">
              <w:rPr>
                <w:rFonts w:ascii="Arial Narrow" w:hAnsi="Arial Narrow" w:cs="Arial"/>
                <w:b/>
                <w:bCs/>
                <w:sz w:val="16"/>
                <w:szCs w:val="16"/>
              </w:rPr>
              <w:t>Importo pagamento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</w:tcPr>
          <w:p w14:paraId="701759BA" w14:textId="77777777" w:rsidR="00F60A68" w:rsidRPr="00922586" w:rsidRDefault="00F60A68" w:rsidP="00F2708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922586">
              <w:rPr>
                <w:rFonts w:ascii="Arial Narrow" w:hAnsi="Arial Narrow" w:cs="Arial"/>
                <w:b/>
                <w:bCs/>
                <w:sz w:val="16"/>
                <w:szCs w:val="16"/>
              </w:rPr>
              <w:t>Modalità</w:t>
            </w:r>
          </w:p>
        </w:tc>
      </w:tr>
      <w:tr w:rsidR="00F60A68" w:rsidRPr="00922586" w14:paraId="0A7CBBEC" w14:textId="77777777" w:rsidTr="00F27080">
        <w:trPr>
          <w:trHeight w:val="45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4011D" w14:textId="77777777" w:rsidR="00F60A68" w:rsidRPr="00922586" w:rsidRDefault="00F60A68" w:rsidP="00F27080">
            <w:pPr>
              <w:jc w:val="right"/>
              <w:rPr>
                <w:rFonts w:cs="Arial"/>
                <w:sz w:val="16"/>
                <w:szCs w:val="16"/>
              </w:rPr>
            </w:pPr>
            <w:r w:rsidRPr="00922586">
              <w:rPr>
                <w:rFonts w:cs="Arial"/>
                <w:sz w:val="16"/>
                <w:szCs w:val="16"/>
              </w:rPr>
              <w:t>5.850,00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377DD" w14:textId="77777777" w:rsidR="00F60A68" w:rsidRPr="00922586" w:rsidRDefault="00F60A68" w:rsidP="00F27080">
            <w:pPr>
              <w:jc w:val="center"/>
              <w:rPr>
                <w:rFonts w:cs="Arial"/>
                <w:sz w:val="16"/>
                <w:szCs w:val="16"/>
              </w:rPr>
            </w:pPr>
            <w:r w:rsidRPr="00922586">
              <w:rPr>
                <w:rFonts w:cs="Arial"/>
                <w:sz w:val="16"/>
                <w:szCs w:val="16"/>
              </w:rPr>
              <w:t>dal 1/1/2009 al 31/12/2009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64FCC" w14:textId="77777777" w:rsidR="00F60A68" w:rsidRPr="00922586" w:rsidRDefault="00F60A68" w:rsidP="000E3A53">
            <w:pPr>
              <w:rPr>
                <w:rFonts w:cs="Arial"/>
                <w:sz w:val="16"/>
                <w:szCs w:val="16"/>
              </w:rPr>
            </w:pPr>
            <w:r w:rsidRPr="00922586">
              <w:rPr>
                <w:rFonts w:cs="Arial"/>
                <w:sz w:val="16"/>
                <w:szCs w:val="16"/>
              </w:rPr>
              <w:t xml:space="preserve">           5.850,0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05FDC" w14:textId="77777777" w:rsidR="00F60A68" w:rsidRPr="00922586" w:rsidRDefault="00F60A68" w:rsidP="00F27080">
            <w:pPr>
              <w:jc w:val="center"/>
              <w:rPr>
                <w:rFonts w:cs="Arial"/>
                <w:sz w:val="16"/>
                <w:szCs w:val="16"/>
              </w:rPr>
            </w:pPr>
            <w:r w:rsidRPr="00922586">
              <w:rPr>
                <w:rFonts w:cs="Arial"/>
                <w:sz w:val="16"/>
                <w:szCs w:val="16"/>
              </w:rPr>
              <w:t>STIPENDIO MENSILE BB</w:t>
            </w:r>
          </w:p>
        </w:tc>
      </w:tr>
    </w:tbl>
    <w:p w14:paraId="53128261" w14:textId="77777777" w:rsidR="00F60A68" w:rsidRDefault="00F60A68" w:rsidP="00F60A68">
      <w:pPr>
        <w:jc w:val="center"/>
      </w:pPr>
    </w:p>
    <w:p w14:paraId="62486C05" w14:textId="77777777" w:rsidR="000E3A53" w:rsidRDefault="000E3A53" w:rsidP="00F60A68">
      <w:pPr>
        <w:jc w:val="center"/>
        <w:rPr>
          <w:rFonts w:ascii="Arial Narrow" w:hAnsi="Arial Narrow"/>
        </w:rPr>
      </w:pPr>
    </w:p>
    <w:p w14:paraId="0F71A903" w14:textId="77777777" w:rsidR="00F60A68" w:rsidRDefault="00F60A68" w:rsidP="00F60A68">
      <w:pPr>
        <w:jc w:val="center"/>
        <w:rPr>
          <w:rFonts w:ascii="Arial Narrow" w:hAnsi="Arial Narrow"/>
        </w:rPr>
      </w:pPr>
      <w:r w:rsidRPr="00797D5D">
        <w:rPr>
          <w:rFonts w:ascii="Arial Narrow" w:hAnsi="Arial Narrow"/>
        </w:rPr>
        <w:t>Spese per rimborsi</w:t>
      </w:r>
    </w:p>
    <w:p w14:paraId="4101652C" w14:textId="77777777" w:rsidR="00F60A68" w:rsidRPr="00797D5D" w:rsidRDefault="00F60A68" w:rsidP="00F60A68">
      <w:pPr>
        <w:jc w:val="center"/>
        <w:rPr>
          <w:rFonts w:ascii="Arial Narrow" w:hAnsi="Arial Narrow"/>
        </w:rPr>
      </w:pPr>
    </w:p>
    <w:p w14:paraId="4B99056E" w14:textId="77777777" w:rsidR="00F60A68" w:rsidRDefault="00E71640" w:rsidP="00F60A68">
      <w:pPr>
        <w:jc w:val="center"/>
        <w:rPr>
          <w:noProof/>
        </w:rPr>
      </w:pPr>
      <w:r w:rsidRPr="005226F2">
        <w:rPr>
          <w:noProof/>
        </w:rPr>
        <w:drawing>
          <wp:inline distT="0" distB="0" distL="0" distR="0" wp14:anchorId="7C8AAC76" wp14:editId="07777777">
            <wp:extent cx="56007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382B8" w14:textId="3ADDEBC6" w:rsidR="33ED8B77" w:rsidRDefault="33ED8B77" w:rsidP="33ED8B77">
      <w:pPr>
        <w:jc w:val="center"/>
        <w:rPr>
          <w:noProof/>
        </w:rPr>
      </w:pPr>
    </w:p>
    <w:sectPr w:rsidR="33ED8B77" w:rsidSect="007F4A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A2DB" w14:textId="77777777" w:rsidR="00536E35" w:rsidRDefault="00536E35">
      <w:r>
        <w:separator/>
      </w:r>
    </w:p>
  </w:endnote>
  <w:endnote w:type="continuationSeparator" w:id="0">
    <w:p w14:paraId="4E5E83A3" w14:textId="77777777" w:rsidR="00536E35" w:rsidRDefault="0053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5DBA" w14:textId="77777777" w:rsidR="00536E35" w:rsidRDefault="00536E35">
      <w:r>
        <w:separator/>
      </w:r>
    </w:p>
  </w:footnote>
  <w:footnote w:type="continuationSeparator" w:id="0">
    <w:p w14:paraId="3210BB67" w14:textId="77777777" w:rsidR="00536E35" w:rsidRDefault="0053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43A89"/>
    <w:multiLevelType w:val="hybridMultilevel"/>
    <w:tmpl w:val="92DA2BC8"/>
    <w:lvl w:ilvl="0" w:tplc="FFFFFFFF">
      <w:start w:val="1"/>
      <w:numFmt w:val="upperLetter"/>
      <w:lvlText w:val="Col. %1 -"/>
      <w:lvlJc w:val="left"/>
      <w:pPr>
        <w:tabs>
          <w:tab w:val="num" w:pos="1566"/>
        </w:tabs>
        <w:ind w:left="156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num w:numId="1" w16cid:durableId="103627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68"/>
    <w:rsid w:val="000A6778"/>
    <w:rsid w:val="000E3A53"/>
    <w:rsid w:val="001472DA"/>
    <w:rsid w:val="001B702E"/>
    <w:rsid w:val="00251B61"/>
    <w:rsid w:val="002C7A02"/>
    <w:rsid w:val="0041461E"/>
    <w:rsid w:val="00536E35"/>
    <w:rsid w:val="005727F2"/>
    <w:rsid w:val="005F3DBD"/>
    <w:rsid w:val="006232CC"/>
    <w:rsid w:val="00644F46"/>
    <w:rsid w:val="00646987"/>
    <w:rsid w:val="00673C8A"/>
    <w:rsid w:val="00682350"/>
    <w:rsid w:val="006D4674"/>
    <w:rsid w:val="006F299C"/>
    <w:rsid w:val="00765341"/>
    <w:rsid w:val="00766439"/>
    <w:rsid w:val="007F4A8C"/>
    <w:rsid w:val="008D78C8"/>
    <w:rsid w:val="00902559"/>
    <w:rsid w:val="009C7EDD"/>
    <w:rsid w:val="00A71181"/>
    <w:rsid w:val="00BC70CA"/>
    <w:rsid w:val="00BE4E8F"/>
    <w:rsid w:val="00D15E11"/>
    <w:rsid w:val="00DF339A"/>
    <w:rsid w:val="00E71640"/>
    <w:rsid w:val="00E9404F"/>
    <w:rsid w:val="00EE785E"/>
    <w:rsid w:val="00F27080"/>
    <w:rsid w:val="00F57611"/>
    <w:rsid w:val="00F60A68"/>
    <w:rsid w:val="33ED8B77"/>
    <w:rsid w:val="39F44F20"/>
    <w:rsid w:val="4318A580"/>
    <w:rsid w:val="602E11AF"/>
    <w:rsid w:val="7B13B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77FF2F"/>
  <w14:defaultImageDpi w14:val="300"/>
  <w15:chartTrackingRefBased/>
  <w15:docId w15:val="{1F45CCC8-5CA5-4ADC-9B1B-89F8D5E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e">
    <w:name w:val="Normal"/>
    <w:qFormat/>
    <w:rsid w:val="00F60A68"/>
    <w:rPr>
      <w:rFonts w:ascii="Arial" w:eastAsia="Times New Roman" w:hAnsi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A6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60A6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Brugnola</dc:creator>
  <cp:keywords/>
  <dc:description/>
  <cp:lastModifiedBy>Andrea Civenzini</cp:lastModifiedBy>
  <cp:revision>2</cp:revision>
  <dcterms:created xsi:type="dcterms:W3CDTF">2022-12-27T12:52:00Z</dcterms:created>
  <dcterms:modified xsi:type="dcterms:W3CDTF">2022-12-27T12:52:00Z</dcterms:modified>
</cp:coreProperties>
</file>